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A6" w:rsidRDefault="00B04DB0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val="uk-UA"/>
        </w:rPr>
        <w:drawing>
          <wp:inline distT="0" distB="0" distL="114300" distR="114300">
            <wp:extent cx="437515" cy="6115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"/>
          <w:szCs w:val="2"/>
        </w:rPr>
        <w:br/>
      </w:r>
    </w:p>
    <w:p w:rsidR="003C70A6" w:rsidRDefault="00B04DB0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УКРАЇНА</w:t>
      </w:r>
    </w:p>
    <w:p w:rsidR="003C70A6" w:rsidRDefault="00B04DB0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КОЛОМИЙСЬКА МІСЬКА РАДА</w:t>
      </w:r>
    </w:p>
    <w:p w:rsidR="003C70A6" w:rsidRDefault="00B04DB0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Восьме демократичне скликання</w:t>
      </w:r>
    </w:p>
    <w:p w:rsidR="003C70A6" w:rsidRDefault="00B04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 сесія</w:t>
      </w:r>
    </w:p>
    <w:p w:rsidR="003C70A6" w:rsidRDefault="00B04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Я</w:t>
      </w:r>
    </w:p>
    <w:p w:rsidR="003C70A6" w:rsidRDefault="003C70A6">
      <w:pPr>
        <w:pStyle w:val="a3"/>
        <w:keepNext w:val="0"/>
        <w:keepLines w:val="0"/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pStyle w:val="a3"/>
        <w:keepNext w:val="0"/>
        <w:keepLines w:val="0"/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b2ot88iyudp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від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______________</w:t>
      </w:r>
    </w:p>
    <w:p w:rsidR="003C70A6" w:rsidRDefault="003C70A6">
      <w:pPr>
        <w:tabs>
          <w:tab w:val="left" w:pos="3402"/>
          <w:tab w:val="left" w:pos="3969"/>
        </w:tabs>
      </w:pPr>
    </w:p>
    <w:tbl>
      <w:tblPr>
        <w:tblStyle w:val="a5"/>
        <w:tblW w:w="441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</w:tblGrid>
      <w:tr w:rsidR="003C70A6">
        <w:trPr>
          <w:trHeight w:val="1995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ind w:left="-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затвердження Положення про місцеву державну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надзвичайну протиепізоотичну комісію та затвердження  її складу у новій редакції</w:t>
            </w:r>
          </w:p>
          <w:p w:rsidR="003C70A6" w:rsidRDefault="003C70A6">
            <w:pPr>
              <w:spacing w:line="240" w:lineRule="auto"/>
              <w:ind w:left="-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0A6" w:rsidRDefault="00B04DB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Закону України “Про  ветеринарну медицину” та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 Кабінету Міністрів України від 19.04.2022 року № 479 “Про затвердження Положення про Державну надзвичайну протиепізоотичну комісію при Кабінеті Міністрів України, Типового положення про місцеву державну надзвичайну протиепізоотичн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у комісію та виз</w:t>
      </w:r>
      <w:r>
        <w:rPr>
          <w:rFonts w:ascii="Times New Roman" w:eastAsia="Times New Roman" w:hAnsi="Times New Roman" w:cs="Times New Roman"/>
          <w:sz w:val="28"/>
          <w:szCs w:val="28"/>
        </w:rPr>
        <w:t>нання такими, що втратили чинність, деяких постанов Кабінету Міністрів України”, керуючись ст.26 Закону України  “Про місцеве самоврядування в Україні”  міська рада</w:t>
      </w:r>
    </w:p>
    <w:p w:rsidR="003C70A6" w:rsidRDefault="003C70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ла :</w:t>
      </w:r>
    </w:p>
    <w:p w:rsidR="003C70A6" w:rsidRDefault="00B04DB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Затвердити Положення про місцеву державну надзвичайну протиепізоотичну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комісію  у новій редакції (додається).</w:t>
      </w:r>
    </w:p>
    <w:p w:rsidR="003C70A6" w:rsidRDefault="00B04DB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Затвердити склад місцевої державної надзвичайної протиепізоотичної комісії у новій редакції (додається).</w:t>
      </w:r>
    </w:p>
    <w:p w:rsidR="003C70A6" w:rsidRDefault="00B04DB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Вважати таким, що втратило чинність рішення міської ради від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24.06.2021р.  № 809-16/2021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затвердження Положення про Державну надзвичайну протиепізоотичну комісію при міській раді та затвердження  складу Державної надзвичайної протиепізоотичної комісії у новій редакції”.</w:t>
      </w:r>
    </w:p>
    <w:p w:rsidR="003C70A6" w:rsidRDefault="00B04DB0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Організацію виконання цього рішення покласти на міського голову. </w:t>
      </w: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5. 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</w:t>
      </w:r>
      <w:r>
        <w:rPr>
          <w:rFonts w:ascii="Times New Roman" w:eastAsia="Times New Roman" w:hAnsi="Times New Roman" w:cs="Times New Roman"/>
          <w:sz w:val="28"/>
          <w:szCs w:val="28"/>
        </w:rPr>
        <w:t>людини та правопорядку.</w:t>
      </w:r>
    </w:p>
    <w:p w:rsidR="003C70A6" w:rsidRDefault="003C70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70A6" w:rsidRDefault="003C70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                                                       Богдан СТАНІСЛАВСЬКИЙ</w:t>
      </w:r>
    </w:p>
    <w:p w:rsidR="001C6672" w:rsidRDefault="001C6672">
      <w:pPr>
        <w:spacing w:line="240" w:lineRule="auto"/>
        <w:ind w:firstLine="56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міської ради  </w:t>
      </w:r>
    </w:p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 № ____</w:t>
      </w:r>
    </w:p>
    <w:p w:rsidR="003C70A6" w:rsidRDefault="003C70A6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C70A6" w:rsidRDefault="00B04D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3C70A6" w:rsidRDefault="00B04D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місцеву державну надзвичайну протиепізоотичну комісію</w:t>
      </w:r>
    </w:p>
    <w:p w:rsidR="003C70A6" w:rsidRDefault="003C70A6">
      <w:pPr>
        <w:shd w:val="clear" w:color="auto" w:fill="FFFFFF"/>
        <w:spacing w:line="240" w:lineRule="auto"/>
        <w:ind w:firstLine="5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 Положення визначає основні засади функціонування та організації діяльності місцевої державної надзвичайної протиепізоотичної комісії (далі - Комісія). Комісія є постійно діючим органом при міській раді, для здійснення оперативного контролю, керівницт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та координації діяльності органів виконавчої влади, органів місцевого самоврядування, фізичних та юридичних осіб незалежно від форми власності щодо запобігання спалахам особливо небезпечних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включених до списку Всесвітньої організації охорони 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ров’я тварин (далі - інфекційні хвороби),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масовим отруєнням тварин та їх ліквідації в межах відповідних адміністративно-територіальних одиниць.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Комісія зобов’язана виконувати рішення, прийняті Державною надзвичайною протиепізоотичною ко</w:t>
      </w:r>
      <w:r>
        <w:rPr>
          <w:rFonts w:ascii="Times New Roman" w:eastAsia="Times New Roman" w:hAnsi="Times New Roman" w:cs="Times New Roman"/>
          <w:sz w:val="28"/>
          <w:szCs w:val="28"/>
        </w:rPr>
        <w:t>місією при Кабінеті Міністрів України, та звітувати їй про свою діяльність.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Комісія в своїй діяльності керується  Конституцією  і законами України,  а  також  указами  Президента України   та   постановами   Верховної Ради  України,  прийнятими відповід</w:t>
      </w:r>
      <w:r>
        <w:rPr>
          <w:rFonts w:ascii="Times New Roman" w:eastAsia="Times New Roman" w:hAnsi="Times New Roman" w:cs="Times New Roman"/>
          <w:sz w:val="28"/>
          <w:szCs w:val="28"/>
        </w:rPr>
        <w:t>но до Конституції  і законів України, актами Кабінету Міністрів України та цим Положенням.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Основними завданнями Комісії є: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здійснення оперативного контролю через орган місцевого самоврядування, а також керівників і спеціалістів підприємств, установ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організацій за: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проведенням заходів щодо профілактики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тварин, зоонозів та масових отруєнь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проведенням протиепізоотичних заходів з метою недопущення занесення на територію Коломийської міської територіальної громади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будників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 з інших держав та регіонів України;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дотриманням фізичними та юридичними особами незалежно від форми власності вимог під час застосування ветеринарно-санітарних заходів, спрямованих на захист людей і охорону на</w:t>
      </w:r>
      <w:r>
        <w:rPr>
          <w:rFonts w:ascii="Times New Roman" w:eastAsia="Times New Roman" w:hAnsi="Times New Roman" w:cs="Times New Roman"/>
          <w:sz w:val="28"/>
          <w:szCs w:val="28"/>
        </w:rPr>
        <w:t>вколишнього природного</w:t>
      </w:r>
      <w:r w:rsidR="00057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середовища;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надання практичної допомоги підприємствам, установам і організаціям, розміщеним на території Коломийської міської територіальної громади, у проведенні протиепізоотичних заходів.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Комісія відповідно до покладених на н</w:t>
      </w:r>
      <w:r>
        <w:rPr>
          <w:rFonts w:ascii="Times New Roman" w:eastAsia="Times New Roman" w:hAnsi="Times New Roman" w:cs="Times New Roman"/>
          <w:sz w:val="28"/>
          <w:szCs w:val="28"/>
        </w:rPr>
        <w:t>еї завдань: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заслуховує та схвалює звіт відповідного структурного підрозділу територіального органу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виконання плану протиепізоотичних заходів за попередній рік;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погоджує план протиепізоотичних заходів на наступний рік;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вжив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ає оперативних заходів для локалізації та ліквідації спалахів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координує діяльність підприємств, установ і організацій, розташованих на території Коломийської міської територіальної громади, з питань проведення прот</w:t>
      </w:r>
      <w:r>
        <w:rPr>
          <w:rFonts w:ascii="Times New Roman" w:eastAsia="Times New Roman" w:hAnsi="Times New Roman" w:cs="Times New Roman"/>
          <w:sz w:val="28"/>
          <w:szCs w:val="28"/>
        </w:rPr>
        <w:t>иепізоотичних заходів;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рекомендує здійснення заходів щодо організації захисту населення від зоонозів;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інформує територіальний орган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спалахи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масові отруєння сільськогосподарських та диких твари</w:t>
      </w:r>
      <w:r>
        <w:rPr>
          <w:rFonts w:ascii="Times New Roman" w:eastAsia="Times New Roman" w:hAnsi="Times New Roman" w:cs="Times New Roman"/>
          <w:sz w:val="28"/>
          <w:szCs w:val="28"/>
        </w:rPr>
        <w:t>н, а також про вжиті заходи до їх ліквідації;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розглядає матеріали щодо причин і наслідків виникнення та ліквідації спалахів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масових отруєнь сільськогосподарських та диких тварин, визначення винних у цьому осіб та про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ультати цього розгляду інформує керівників органів виконавчої влади, органів місцевого самоврядування, підприємств, установ і організацій, розташованих на території Коломийської міської територіальної громади;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вивчає питання про вилучення з обігу та под</w:t>
      </w:r>
      <w:r>
        <w:rPr>
          <w:rFonts w:ascii="Times New Roman" w:eastAsia="Times New Roman" w:hAnsi="Times New Roman" w:cs="Times New Roman"/>
          <w:sz w:val="28"/>
          <w:szCs w:val="28"/>
        </w:rPr>
        <w:t>альше використання небезпечної продукції тваринного походження, яка може викликати інфекційні захворювання і масові отруєння людей та/або тварин у процесі її переробки, реалізації або споживання, та надає рекомендації стосовно подальшого поводження із зазн</w:t>
      </w:r>
      <w:r>
        <w:rPr>
          <w:rFonts w:ascii="Times New Roman" w:eastAsia="Times New Roman" w:hAnsi="Times New Roman" w:cs="Times New Roman"/>
          <w:sz w:val="28"/>
          <w:szCs w:val="28"/>
        </w:rPr>
        <w:t>аченою продукцією;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запроваджує карантинні заходи (карантинні обмеження) або карантин тварин у місці виникнення і розповсюдження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заслуховує керівників органів виконавчої влади, органів місцевого самоврядування, підприємств, установ і організацій, розташованих на території Коломийської міської територіальної громади, про вжиті заходи до профілактики та ліквідації інфекційних, інв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залучає працівників відповідних структурних підрозділів територіальних органів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установ, підприємств і організацій, що їй підпорядковані, ліцензованих закладів ветеринарної медицини, що входять д</w:t>
      </w:r>
      <w:r>
        <w:rPr>
          <w:rFonts w:ascii="Times New Roman" w:eastAsia="Times New Roman" w:hAnsi="Times New Roman" w:cs="Times New Roman"/>
          <w:sz w:val="28"/>
          <w:szCs w:val="28"/>
        </w:rPr>
        <w:t>о системи компетентного органу, інших ліцензованих закладів ветеринарної медицини, ліцензованих спеціалістів ветеринарної медицини, працівників підприємств, установ і організацій до проведення протиепізоотичних заходів, а також визначає відповідальних осіб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хвороби, включеної до списку Всесвітньої організації охорони здоров’я тварин, працівників центра</w:t>
      </w:r>
      <w:r>
        <w:rPr>
          <w:rFonts w:ascii="Times New Roman" w:eastAsia="Times New Roman" w:hAnsi="Times New Roman" w:cs="Times New Roman"/>
          <w:sz w:val="28"/>
          <w:szCs w:val="28"/>
        </w:rPr>
        <w:t>льних органів виконавчої влади, діяльність яких спрямовується та координується Кабінетом Міністрів України через Міністра внутрішніх справ, та військовослужбовців;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розглядає пропозиції територіального органу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 його структурного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ідрозділу відповідної адміністративно-територіальної одиниці щодо визначення межі неблагополучного пункту (спалаху хвороби),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зони захисту, у разі потреби - зони спостереження і буферної зони. Протягом перших 24 годин після прийняття рішення Державною надзв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ичайною протиепізоотичною комісією при Кабінеті Міністрів України про </w:t>
      </w:r>
      <w:r w:rsidR="0071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запровадження карантину забезпечує інформування про це осіб, які </w:t>
      </w:r>
      <w:r w:rsidR="0071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перебувають на території карантинної зони, та місцевих органів виконавчої влади і органів місцевого самоврядування суміжн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1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адміністративно-територіальних одиниць, розміщує у засобах масової інформації повідомлення про межі неблагополучного пункту (спалаху хвороби), зони захисту, у разі потреби - зони спостереження і буферної зони, про застосовані в кожній із цих зон каранти</w:t>
      </w:r>
      <w:r>
        <w:rPr>
          <w:rFonts w:ascii="Times New Roman" w:eastAsia="Times New Roman" w:hAnsi="Times New Roman" w:cs="Times New Roman"/>
          <w:sz w:val="28"/>
          <w:szCs w:val="28"/>
        </w:rPr>
        <w:t>нні заходи (карантинні обмеження) та очікуваний строк їх дії;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взаємодіє з комісіями інших адміністративно-територіальних одиниць під час ліквідації спалахів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Комісія має право: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одержувати від органу виконавчої влади, органу місцевого самов</w:t>
      </w:r>
      <w:r>
        <w:rPr>
          <w:rFonts w:ascii="Times New Roman" w:eastAsia="Times New Roman" w:hAnsi="Times New Roman" w:cs="Times New Roman"/>
          <w:sz w:val="28"/>
          <w:szCs w:val="28"/>
        </w:rPr>
        <w:t>рядування, фізичних та юридичних осіб незалежно від форми власності інформацію та матеріали, що необхідні для з'ясування епізоотичної ситуації, ветеринарно-санітарного стану підприємств, установ і організацій та вжиття невідкладних заходів до запобігання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озповсюдженню та ліквідації </w:t>
      </w:r>
      <w:r w:rsidR="0071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проводити на підприємствах, в установах і організаціях інспектування та/або спостереження, відбір зразків, лабораторні дослідження (випробування) та інші ветеринарно-санітарні заходи,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редбачені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Законом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“Про ветеринарну медицину”, та приймати обов'язкові для виконання рішення про усунення виявлених порушень;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вирішувати питання про забій і умертвіння тварин відповідно до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Закону України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“Про захист тварин від жорстокого поводження” у разі виявлення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тварин, а також пр</w:t>
      </w:r>
      <w:r>
        <w:rPr>
          <w:rFonts w:ascii="Times New Roman" w:eastAsia="Times New Roman" w:hAnsi="Times New Roman" w:cs="Times New Roman"/>
          <w:sz w:val="28"/>
          <w:szCs w:val="28"/>
        </w:rPr>
        <w:t>о вилучення з обігу, знезараження, переробку або інше використання продуктів і сировини тваринного та рослинного походження, визнаних непридатними для використання;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забороняти або обмежувати переміщення в межах та/або за межі неблагополучного пункту, зо</w:t>
      </w:r>
      <w:r>
        <w:rPr>
          <w:rFonts w:ascii="Times New Roman" w:eastAsia="Times New Roman" w:hAnsi="Times New Roman" w:cs="Times New Roman"/>
          <w:sz w:val="28"/>
          <w:szCs w:val="28"/>
        </w:rPr>
        <w:t>ни захисту, у разі потреби - зони спостереження та буферної зони у разі підозри щодо наявності хвороби тварин, що підлягає повідомленню, та під час карантину тварин будь-яких тварин, кормів, продуктів тваринного та рослинного походження, інших товарів, зас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обів догляду за тваринами, супутніх об’єктів та гною, а також забороняти експорт з України свійських наземних тварин, призначених для забою, відповідно до планів ліквідації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тварин, що підлягають повідомленню;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забороняти експлуатацію підприємств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переробки та зберігання продуктів тваринного походження у разі виявлення на таких підприємствах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 або незадовільного </w:t>
      </w:r>
      <w:r w:rsidR="00B368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ветеринарно-санітарного стану;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надавати рекомендації щодо заборони або обмеження у разі виявлення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полювання на певні види диких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приймати рішення щодо запровадження особливого режиму роботи на підприємствах під час карантинних заходів (карантинних обмежень) або карантину в населених пунктах з метою зап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обігання розповсюдженню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ініціювати відповідно до законодавства звільнення з роботи, притягнення до адміністративної або кримінальної відповідальності посадових осіб, з вини яких допущено занесення збудників інфекці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ї на територію України, виникнення спалахів інфекційних, інвазійних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масових отруєнь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приймати рішення щодо відшкодування майнової шкоди (збитків), заподіяної фізичним та юридичним особам внаслідок запровадження карантинних заходів (каран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тинних обмежень) або у зв’язку з проведенням процедур і робіт щодо ліквідації та профілактики карантинних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тварин;</w:t>
      </w:r>
    </w:p>
    <w:p w:rsidR="003C70A6" w:rsidRDefault="00B04DB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залучати до участі у своїй роботі представників територіальних</w:t>
      </w:r>
      <w:r w:rsidR="00B368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органів центральних органів виконавчої влади, місцевих органів викон</w:t>
      </w:r>
      <w:r>
        <w:rPr>
          <w:rFonts w:ascii="Times New Roman" w:eastAsia="Times New Roman" w:hAnsi="Times New Roman" w:cs="Times New Roman"/>
          <w:sz w:val="28"/>
          <w:szCs w:val="28"/>
        </w:rPr>
        <w:t>авчої влади, органів місцевого самоврядування, підприємств, установ і організацій, розташованих на території відповідної адміністративно-територіальної одиниці (за погодженням з їх керівниками).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 Комісія утворюється у складі голови, його заступників, се</w:t>
      </w:r>
      <w:r>
        <w:rPr>
          <w:rFonts w:ascii="Times New Roman" w:eastAsia="Times New Roman" w:hAnsi="Times New Roman" w:cs="Times New Roman"/>
          <w:sz w:val="28"/>
          <w:szCs w:val="28"/>
        </w:rPr>
        <w:t>кретаря та членів Комісії.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Комісію  очолює  міський голова. Заступниками голови Комісії є заступник міського голови та начальник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Коломийського міського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  До   складу  Комісії  входять представники відповідних структурн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підрозділів територіальних органів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ДСНС, структурних підрозділів держадміністрацій, правоохоронних органів,  охорони  здоров'я,  з  питань  надзвичайних ситуацій,  підприємств, установ і організацій міста, визначених міською радою.</w:t>
      </w:r>
    </w:p>
    <w:p w:rsidR="003C70A6" w:rsidRDefault="00B04DB0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Члени Комісії, які беруть участь у ліквідації спалахів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тварин, забезпечуються необхідними засобами для локалізації та ліквідації таких спалахів, включаючи засоби ветеринарної медицини, ветеринарні препарати, засоби зв’язку, спеціалізовані 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 засоби ветеринарної медицини та </w:t>
      </w:r>
      <w:r w:rsidR="005E7D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інші транспортні засоби, проїзні документи на всі види транспорту та розміщення в готелі під час виконання посадових обов’язків. Витрати на засоби, необхідні для локалізації та ліквідації спалахів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тварин, відшкодов</w:t>
      </w:r>
      <w:r>
        <w:rPr>
          <w:rFonts w:ascii="Times New Roman" w:eastAsia="Times New Roman" w:hAnsi="Times New Roman" w:cs="Times New Roman"/>
          <w:sz w:val="28"/>
          <w:szCs w:val="28"/>
        </w:rPr>
        <w:t>уються за рахунок коштів державного та місцевих бюджетів, що виділяються на проведення ветеринарно-санітарних та протиепізоотичних заходів.</w:t>
      </w:r>
    </w:p>
    <w:p w:rsidR="003C70A6" w:rsidRDefault="00B04DB0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Спеціалістам ветеринарної медицини, що входять до складу Комісії, надаються повноваження державних ветеринарних інсп</w:t>
      </w:r>
      <w:r>
        <w:rPr>
          <w:rFonts w:ascii="Times New Roman" w:eastAsia="Times New Roman" w:hAnsi="Times New Roman" w:cs="Times New Roman"/>
          <w:sz w:val="28"/>
          <w:szCs w:val="28"/>
        </w:rPr>
        <w:t>екторів протягом всього періоду їх діяльності як членів комісій.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Голова Комісії: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затверджує персональний склад Комісії, обирає її секретаря;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-керує роботою Комісії;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-визначає дату, час і місце проведення засідання Комісії;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-веде засідання Комісії;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-зат</w:t>
      </w:r>
      <w:r>
        <w:rPr>
          <w:rFonts w:ascii="Times New Roman" w:eastAsia="Times New Roman" w:hAnsi="Times New Roman" w:cs="Times New Roman"/>
          <w:sz w:val="28"/>
          <w:szCs w:val="28"/>
        </w:rPr>
        <w:t>верджує щорічний план роботи Комісії;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-вносить зміни до персонального складу Комісії;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-здійснює контроль за виконанням прийнятих Комісією рішень.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відсутності голови Комісії його обов'язки виконує заступник голови.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Роботу з підготовки засідань Комісії виконує її секретар.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Пропозиції  до  розгляду  питань  на  засіданні   Комісії вносять голова та члени Комісії.</w:t>
      </w:r>
    </w:p>
    <w:p w:rsidR="003C70A6" w:rsidRDefault="00B04DB0">
      <w:pPr>
        <w:shd w:val="clear" w:color="auto" w:fill="FFFFFF"/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Засідання  Комісії є правоможним,  якщо на ньому присутня більш як половина її членів.</w:t>
      </w: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засі</w:t>
      </w:r>
      <w:r>
        <w:rPr>
          <w:rFonts w:ascii="Times New Roman" w:eastAsia="Times New Roman" w:hAnsi="Times New Roman" w:cs="Times New Roman"/>
          <w:sz w:val="28"/>
          <w:szCs w:val="28"/>
        </w:rPr>
        <w:t>дання  Комісії  запрошуються  залежно  від   характеру питань, що розглядаються, керівники або представники центральних і місцевих органів виконавчої  влади, областей,  районів,  підприємств,  установ і організацій,  наукові працівники та громадяни.</w:t>
      </w:r>
    </w:p>
    <w:p w:rsidR="003C70A6" w:rsidRDefault="00B04DB0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Голова Комісії може прийняти рішення про проведення засідання Комісії у режимі реального часу з використанням відповідних технічних засобів, зокрема через Інтернет, або про участь члена Комісії в такому режимі у засіданні </w:t>
      </w:r>
      <w:r w:rsidR="005E7DD4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Комісії.</w:t>
      </w: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12. Рішення  Комісії  в</w:t>
      </w:r>
      <w:r>
        <w:rPr>
          <w:rFonts w:ascii="Times New Roman" w:eastAsia="Times New Roman" w:hAnsi="Times New Roman" w:cs="Times New Roman"/>
          <w:sz w:val="28"/>
          <w:szCs w:val="28"/>
        </w:rPr>
        <w:t>важається  прийнятим,  якщо  за  нього проголосувала більшість її членів,  присутніх на засіданні. У разі рівного розподілу голосів вирішальним є голос голови Комісії.</w:t>
      </w: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Член Комісії, який  не  підтримує   прийняте рішення,  може у письмовій  формі  виклас</w:t>
      </w:r>
      <w:r>
        <w:rPr>
          <w:rFonts w:ascii="Times New Roman" w:eastAsia="Times New Roman" w:hAnsi="Times New Roman" w:cs="Times New Roman"/>
          <w:sz w:val="28"/>
          <w:szCs w:val="28"/>
        </w:rPr>
        <w:t>ти  окрему  думку, що додається до рішення Комісії.</w:t>
      </w:r>
    </w:p>
    <w:p w:rsidR="003C70A6" w:rsidRDefault="00B04D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Рішення Комісії,  прийняті  у   межах   її   повноважень,   є обов'язкові  для  виконання. </w:t>
      </w:r>
    </w:p>
    <w:p w:rsidR="003C70A6" w:rsidRDefault="00B04DB0">
      <w:pPr>
        <w:shd w:val="clear" w:color="auto" w:fill="FFFFFF"/>
        <w:spacing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омісія проводить засідання не менше двох разів на рік. У разі виникнення підозри щодо спалаху хвороби тва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рин, що підлягає повідомленню, засідання Комісії проводиться за поданням головного державного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ветеринарного інспектора протягом 48 годин після прийняття розпорядження про застосування карантинних заходів (карантинних обмежень).</w:t>
      </w:r>
    </w:p>
    <w:p w:rsidR="003C70A6" w:rsidRDefault="00B04DB0">
      <w:pPr>
        <w:shd w:val="clear" w:color="auto" w:fill="FFFFFF"/>
        <w:spacing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 Комісії  оформляє</w:t>
      </w:r>
      <w:r>
        <w:rPr>
          <w:rFonts w:ascii="Times New Roman" w:eastAsia="Times New Roman" w:hAnsi="Times New Roman" w:cs="Times New Roman"/>
          <w:sz w:val="28"/>
          <w:szCs w:val="28"/>
        </w:rPr>
        <w:t>ться протоколом,  зміст якого або його частина доводиться до відома заінтересованих  центральних і   місцевих   органів   виконавчої   влади,   органів   місцевого самоврядування,  підприємств,  установ і  організацій,  а  у  разі потреби - до засобів масо</w:t>
      </w:r>
      <w:r>
        <w:rPr>
          <w:rFonts w:ascii="Times New Roman" w:eastAsia="Times New Roman" w:hAnsi="Times New Roman" w:cs="Times New Roman"/>
          <w:sz w:val="28"/>
          <w:szCs w:val="28"/>
        </w:rPr>
        <w:t>вої інформації.</w:t>
      </w:r>
    </w:p>
    <w:p w:rsidR="003C70A6" w:rsidRDefault="00B04DB0">
      <w:pPr>
        <w:shd w:val="clear" w:color="auto" w:fill="FFFFFF"/>
        <w:spacing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підписується   головою   та   секретарем  Комісії. </w:t>
      </w:r>
    </w:p>
    <w:p w:rsidR="003C70A6" w:rsidRDefault="00B04DB0">
      <w:pPr>
        <w:shd w:val="clear" w:color="auto" w:fill="FFFFFF"/>
        <w:spacing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Робочим  органом  Комісії є відповідний структурний підрозділ Головного  управління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 області. </w:t>
      </w:r>
    </w:p>
    <w:p w:rsidR="003C70A6" w:rsidRDefault="00B04DB0">
      <w:pPr>
        <w:shd w:val="clear" w:color="auto" w:fill="FFFFFF"/>
        <w:spacing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Комісія провадить свою діяльність у взаємодії із ві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дповідними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комісіями з питань техногенно-екологічної безпеки та надзвичайних ситуацій на регіональному, місцевому та об’єктовому рівні.</w:t>
      </w:r>
    </w:p>
    <w:p w:rsidR="003C70A6" w:rsidRDefault="003C70A6">
      <w:pPr>
        <w:shd w:val="clear" w:color="auto" w:fill="FFFFFF"/>
        <w:spacing w:line="240" w:lineRule="auto"/>
        <w:ind w:firstLine="58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ind w:firstLine="58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3C70A6" w:rsidRDefault="00B04D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відділу</w:t>
      </w:r>
    </w:p>
    <w:p w:rsidR="003C70A6" w:rsidRDefault="00B04D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охорони здоров’я міської ради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Ігор КОБА</w:t>
      </w:r>
    </w:p>
    <w:tbl>
      <w:tblPr>
        <w:tblStyle w:val="a6"/>
        <w:tblW w:w="38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30"/>
      </w:tblGrid>
      <w:tr w:rsidR="003C70A6">
        <w:trPr>
          <w:trHeight w:val="141"/>
        </w:trPr>
        <w:tc>
          <w:tcPr>
            <w:tcW w:w="3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міської ради  </w:t>
      </w:r>
    </w:p>
    <w:p w:rsidR="003C70A6" w:rsidRDefault="00B04DB0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 № ____</w:t>
      </w:r>
    </w:p>
    <w:p w:rsidR="003C70A6" w:rsidRDefault="003C70A6">
      <w:pPr>
        <w:spacing w:line="240" w:lineRule="auto"/>
        <w:ind w:firstLine="5669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</w:t>
      </w:r>
    </w:p>
    <w:p w:rsidR="003C70A6" w:rsidRDefault="00B04D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місцевої державної надзвичайної протиепізоотичної комісії  </w:t>
      </w:r>
    </w:p>
    <w:tbl>
      <w:tblPr>
        <w:tblStyle w:val="a7"/>
        <w:tblW w:w="951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920"/>
      </w:tblGrid>
      <w:tr w:rsidR="003C70A6">
        <w:trPr>
          <w:trHeight w:val="98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Станіславський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Миколайович</w:t>
            </w:r>
          </w:p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4A86E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Остяк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Адамович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міський голова,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голова комісії</w:t>
            </w:r>
          </w:p>
          <w:p w:rsidR="003C70A6" w:rsidRDefault="003C7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0A6" w:rsidRDefault="003C7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заступник міського голови,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заступник голови комісії</w:t>
            </w:r>
          </w:p>
        </w:tc>
      </w:tr>
      <w:tr w:rsidR="003C70A6">
        <w:trPr>
          <w:trHeight w:val="120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Микитюк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Михайлович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Коломийського міського відділу Коломийського районного управління Головного управління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Івано-Франківській області, </w:t>
            </w:r>
          </w:p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заступник голови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3C70A6">
        <w:trPr>
          <w:trHeight w:val="197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Оленич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 Степанович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головний спеціаліст Коломийського міського відділу Коломийського районного управління Головного управління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Івано-Франківській області,</w:t>
            </w:r>
          </w:p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3C70A6">
        <w:trPr>
          <w:trHeight w:val="65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0A6">
        <w:trPr>
          <w:trHeight w:val="197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Довганюк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провідний фахівець відділу цивільного захисту Коломийського районного управління Головного управління ДСНС України в Івано-Франківській області (за згодою)</w:t>
            </w:r>
          </w:p>
        </w:tc>
      </w:tr>
      <w:tr w:rsidR="003C70A6">
        <w:trPr>
          <w:trHeight w:val="98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Ткачук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Інна Михайлівна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управління економіки міської ради</w:t>
            </w:r>
          </w:p>
        </w:tc>
      </w:tr>
      <w:tr w:rsidR="003C70A6">
        <w:trPr>
          <w:trHeight w:val="98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Коба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 Юрійович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відділу охорони здоров’я міської ради</w:t>
            </w:r>
          </w:p>
        </w:tc>
      </w:tr>
      <w:tr w:rsidR="003C70A6">
        <w:trPr>
          <w:trHeight w:val="197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Косько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 Михайлович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завідувач відділення організації епідеміологічних досліджень Коломийського центру ДУ «Івано- Франківський  обласний лабораторний центр» (за згодою)</w:t>
            </w:r>
          </w:p>
        </w:tc>
      </w:tr>
      <w:tr w:rsidR="003C70A6">
        <w:trPr>
          <w:trHeight w:val="197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Кошкін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Євгенович</w:t>
            </w:r>
          </w:p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Кравчук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Ганна Василівна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генеральний директор комунального некомерційного підприємства «Коломийська центральна районна лікарня Коломийської міської ради» </w:t>
            </w:r>
          </w:p>
          <w:p w:rsidR="003C70A6" w:rsidRDefault="003C70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заступник голови Коломийської районної державної адміністрації (за згодою)</w:t>
            </w:r>
          </w:p>
        </w:tc>
      </w:tr>
      <w:tr w:rsidR="003C70A6">
        <w:trPr>
          <w:trHeight w:val="98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Савчук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 Володи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відділу з питань цивільного захисту міської ради</w:t>
            </w:r>
          </w:p>
        </w:tc>
      </w:tr>
      <w:tr w:rsidR="003C70A6">
        <w:trPr>
          <w:trHeight w:val="164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Могильняк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 Дмитрович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заступник начальника Коломийського районного відділу Головного управління національної поліції України в Івано-Франківській області (за згодою) </w:t>
            </w:r>
          </w:p>
        </w:tc>
      </w:tr>
      <w:tr w:rsidR="003C70A6">
        <w:trPr>
          <w:trHeight w:val="98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Радовець</w:t>
            </w:r>
            <w:proofErr w:type="spellEnd"/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Петрович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 управління комунальним господарством міської ради</w:t>
            </w:r>
          </w:p>
        </w:tc>
      </w:tr>
      <w:tr w:rsidR="003C70A6">
        <w:trPr>
          <w:trHeight w:val="1085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Урбанович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Ярославович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-голова Коломийської організації українського товариства мисливців та рибалок (за згодою)</w:t>
            </w:r>
          </w:p>
        </w:tc>
      </w:tr>
      <w:tr w:rsidR="003C70A6">
        <w:trPr>
          <w:trHeight w:val="980"/>
        </w:trPr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Хома </w:t>
            </w:r>
          </w:p>
          <w:p w:rsidR="003C70A6" w:rsidRDefault="00B04D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 Осипівна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70A6" w:rsidRDefault="003C70A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0A6" w:rsidRDefault="00B04D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завідувачка Коломийської дільничної  лікарні ветеринарної медицини (за згодою)</w:t>
            </w:r>
          </w:p>
        </w:tc>
      </w:tr>
    </w:tbl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B04D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відділу</w:t>
      </w:r>
    </w:p>
    <w:p w:rsidR="003C70A6" w:rsidRDefault="00B04D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охорони здоров’я міської ради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Ігор КОБА</w:t>
      </w: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:rsidR="003C70A6" w:rsidRDefault="00B04D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міської ради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Андрій КУНИЧАК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“___”_________ 2023р.</w:t>
      </w:r>
    </w:p>
    <w:p w:rsidR="003C70A6" w:rsidRDefault="003C70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голови постійної комісії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питань 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освіти, культури, спорту, інформаційної 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 молодіжної політики, соціального захисту,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охорони здоров'я, гендерної політики,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депутатської діяльності, етики, регламенту, 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захисту прав людини та правопорядку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Роман ДЯЧУК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“___”_________ 2023р.</w:t>
      </w:r>
    </w:p>
    <w:p w:rsidR="003C70A6" w:rsidRDefault="003C7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Любов СОНЧАК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2023р.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«Секретаріат ради» 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Світлана БЕЖУК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2023р.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з питань запобігання та 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виявлення корупції у міській раді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C70A6" w:rsidRDefault="00B04D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Світлана СЕНЮК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 ________ 2023р.</w:t>
      </w:r>
    </w:p>
    <w:p w:rsidR="003C70A6" w:rsidRDefault="003C70A6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3C70A6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Виконавець:</w:t>
      </w:r>
    </w:p>
    <w:p w:rsidR="003C70A6" w:rsidRDefault="003C70A6">
      <w:pPr>
        <w:tabs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охорони здоров`я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70A6" w:rsidRDefault="00B04DB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Ігор КОБА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“___” ________ 2023р.</w:t>
      </w:r>
    </w:p>
    <w:sectPr w:rsidR="003C70A6">
      <w:pgSz w:w="11909" w:h="16834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6"/>
    <w:rsid w:val="0005730B"/>
    <w:rsid w:val="001C6672"/>
    <w:rsid w:val="003C70A6"/>
    <w:rsid w:val="005E7DD4"/>
    <w:rsid w:val="00715FC3"/>
    <w:rsid w:val="00B04DB0"/>
    <w:rsid w:val="00B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7B40"/>
  <w15:docId w15:val="{30590EAF-C979-403D-A6F8-88CD7B03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447-15" TargetMode="External"/><Relationship Id="rId5" Type="http://schemas.openxmlformats.org/officeDocument/2006/relationships/hyperlink" Target="https://zakon.rada.gov.ua/laws/show/1206-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11771</Words>
  <Characters>6711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Бойко Вікторія Сергіївна2</cp:lastModifiedBy>
  <cp:revision>2</cp:revision>
  <dcterms:created xsi:type="dcterms:W3CDTF">2023-04-10T08:47:00Z</dcterms:created>
  <dcterms:modified xsi:type="dcterms:W3CDTF">2023-04-10T09:29:00Z</dcterms:modified>
</cp:coreProperties>
</file>